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93" w:rsidRDefault="00CB1A93" w:rsidP="00CB1A93">
      <w:pPr>
        <w:ind w:left="360"/>
        <w:rPr>
          <w:b/>
          <w:u w:val="single"/>
        </w:rPr>
      </w:pPr>
      <w:r w:rsidRPr="00CB1A93">
        <w:rPr>
          <w:b/>
          <w:u w:val="single"/>
        </w:rPr>
        <w:t>Výpočet solventnostního kapitálového požadavku podle standardního vzorce</w:t>
      </w:r>
    </w:p>
    <w:p w:rsidR="00CB1A93" w:rsidRDefault="00CB1A93" w:rsidP="00CB1A93">
      <w:pPr>
        <w:ind w:left="360"/>
        <w:rPr>
          <w:u w:val="single"/>
        </w:rPr>
      </w:pPr>
      <w:r w:rsidRPr="00CB1A93">
        <w:rPr>
          <w:u w:val="single"/>
        </w:rPr>
        <w:t>Struktura solventnostního kapitálového požadavku</w:t>
      </w:r>
    </w:p>
    <w:p w:rsidR="00CB1A93" w:rsidRDefault="00CB1A93" w:rsidP="00CB1A93">
      <w:pPr>
        <w:ind w:left="360"/>
        <w:rPr>
          <w:vertAlign w:val="subscript"/>
        </w:rPr>
      </w:pPr>
      <w:r w:rsidRPr="00CB1A93">
        <w:t>SC</w:t>
      </w:r>
      <w:r>
        <w:t>R = BSCR + SCR</w:t>
      </w:r>
      <w:r>
        <w:rPr>
          <w:vertAlign w:val="subscript"/>
        </w:rPr>
        <w:t>OR</w:t>
      </w:r>
      <w:r>
        <w:t xml:space="preserve"> + Adj</w:t>
      </w:r>
      <w:r>
        <w:rPr>
          <w:vertAlign w:val="subscript"/>
        </w:rPr>
        <w:t>TR</w:t>
      </w:r>
      <w:r>
        <w:t xml:space="preserve"> +Adj</w:t>
      </w:r>
      <w:r>
        <w:rPr>
          <w:vertAlign w:val="subscript"/>
        </w:rPr>
        <w:t>OD</w:t>
      </w:r>
    </w:p>
    <w:p w:rsidR="00CB1A93" w:rsidRDefault="00CB1A93" w:rsidP="00CB1A93">
      <w:pPr>
        <w:ind w:left="360"/>
      </w:pPr>
      <w:r>
        <w:t>BSCR – základní solventnostní kapitálový požadavek</w:t>
      </w:r>
    </w:p>
    <w:p w:rsidR="00CB1A93" w:rsidRDefault="00CB1A93" w:rsidP="00CB1A93">
      <w:pPr>
        <w:ind w:left="360"/>
      </w:pPr>
      <w:r>
        <w:t>SCR</w:t>
      </w:r>
      <w:r>
        <w:rPr>
          <w:vertAlign w:val="subscript"/>
        </w:rPr>
        <w:t>OR</w:t>
      </w:r>
      <w:r>
        <w:t xml:space="preserve">  - kapitálový požadavek k operačnímu riziku</w:t>
      </w:r>
    </w:p>
    <w:p w:rsidR="00CB1A93" w:rsidRDefault="00CB1A93" w:rsidP="00CB1A93">
      <w:pPr>
        <w:ind w:left="360"/>
      </w:pPr>
      <w:r>
        <w:t>Adj</w:t>
      </w:r>
      <w:r>
        <w:rPr>
          <w:vertAlign w:val="subscript"/>
        </w:rPr>
        <w:t>TR</w:t>
      </w:r>
      <w:r>
        <w:t xml:space="preserve"> +Adj</w:t>
      </w:r>
      <w:r>
        <w:rPr>
          <w:vertAlign w:val="subscript"/>
        </w:rPr>
        <w:t>OD</w:t>
      </w:r>
      <w:r>
        <w:t xml:space="preserve"> – úprava o schopnost technických rezerv a odložené daňové povinnosti absorbovat ztráty</w:t>
      </w:r>
    </w:p>
    <w:p w:rsidR="00CB1A93" w:rsidRDefault="00CB1A93" w:rsidP="00CB1A93">
      <w:pPr>
        <w:ind w:left="360"/>
      </w:pPr>
      <w:r>
        <w:rPr>
          <w:u w:val="single"/>
        </w:rPr>
        <w:t>Výpočet BSCR</w:t>
      </w:r>
    </w:p>
    <w:p w:rsidR="00CB1A93" w:rsidRDefault="00CB1A93" w:rsidP="00CB1A93">
      <w:pPr>
        <w:ind w:left="360"/>
      </w:pPr>
      <w:r>
        <w:t>BSCR zahrnuje rizikové moduly:</w:t>
      </w:r>
    </w:p>
    <w:p w:rsidR="00CB1A93" w:rsidRDefault="00CB1A93" w:rsidP="00CB1A93">
      <w:pPr>
        <w:pStyle w:val="Odstavecseseznamem"/>
        <w:numPr>
          <w:ilvl w:val="0"/>
          <w:numId w:val="2"/>
        </w:numPr>
      </w:pPr>
      <w:r>
        <w:t xml:space="preserve">Neživotní upisovací riziko </w:t>
      </w:r>
      <w:r w:rsidR="009D435C">
        <w:t>(riziko vyplývající ze závazků týkajících se neživotního pojištění v souvislosti s krytými riziky a používanýcmi postupy)</w:t>
      </w:r>
    </w:p>
    <w:p w:rsidR="00CB1A93" w:rsidRDefault="00CB1A93" w:rsidP="00CB1A93">
      <w:pPr>
        <w:pStyle w:val="Odstavecseseznamem"/>
        <w:numPr>
          <w:ilvl w:val="0"/>
          <w:numId w:val="2"/>
        </w:numPr>
      </w:pPr>
      <w:r>
        <w:t>Životní upisovací riziko</w:t>
      </w:r>
    </w:p>
    <w:p w:rsidR="00CB1A93" w:rsidRDefault="00CB1A93" w:rsidP="00CB1A93">
      <w:pPr>
        <w:pStyle w:val="Odstavecseseznamem"/>
        <w:numPr>
          <w:ilvl w:val="0"/>
          <w:numId w:val="2"/>
        </w:numPr>
      </w:pPr>
      <w:r>
        <w:t>Zdravotní upisovací riziko</w:t>
      </w:r>
    </w:p>
    <w:p w:rsidR="00CB1A93" w:rsidRDefault="00CB1A93" w:rsidP="00CB1A93">
      <w:pPr>
        <w:pStyle w:val="Odstavecseseznamem"/>
        <w:numPr>
          <w:ilvl w:val="0"/>
          <w:numId w:val="2"/>
        </w:numPr>
      </w:pPr>
      <w:r>
        <w:t>Tržní riziko</w:t>
      </w:r>
      <w:r w:rsidR="009D435C">
        <w:t xml:space="preserve"> (riziko vyplývající z úrovně nebo volatili</w:t>
      </w:r>
      <w:r w:rsidR="005C0A6B">
        <w:t>t</w:t>
      </w:r>
      <w:r w:rsidR="009D435C">
        <w:t xml:space="preserve"> tržních cen finančních nástrojů, které ovlivňují hodnotu aktiv a závazků pojišťovny)</w:t>
      </w:r>
    </w:p>
    <w:p w:rsidR="00CB1A93" w:rsidRDefault="00CB1A93" w:rsidP="00CB1A93">
      <w:pPr>
        <w:pStyle w:val="Odstavecseseznamem"/>
        <w:numPr>
          <w:ilvl w:val="0"/>
          <w:numId w:val="2"/>
        </w:numPr>
      </w:pPr>
      <w:r>
        <w:t>Riziko selhání protistrany</w:t>
      </w:r>
      <w:r w:rsidR="009D435C">
        <w:t xml:space="preserve"> (možné ztráty v následujícícm roce dané neočekávaným selháním a zhoršením ratingu protistran a dlužníků pojišťovny – např. zajištění, sekuritizace, deriváty, pohledávky za zprostředkovateli a jiné úvěrové expozice, na které se nevztahuje podmodul rizika kreditního rozpětí)</w:t>
      </w:r>
    </w:p>
    <w:p w:rsidR="009D435C" w:rsidRPr="00CB1A93" w:rsidRDefault="009D435C" w:rsidP="009D435C">
      <m:oMathPara>
        <m:oMath>
          <m:r>
            <w:rPr>
              <w:rFonts w:ascii="Cambria Math" w:hAnsi="Cambria Math"/>
            </w:rPr>
            <m:t xml:space="preserve">BSCR=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i,j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Corr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ij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SCR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i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SCR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nary>
            </m:e>
          </m:rad>
        </m:oMath>
      </m:oMathPara>
    </w:p>
    <w:p w:rsidR="000011DC" w:rsidRDefault="009D435C"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SCR</m:t>
            </m:r>
          </m:e>
          <m:sub>
            <m:r>
              <w:rPr>
                <w:rFonts w:ascii="Cambria Math" w:hAnsi="Cambria Math"/>
              </w:rPr>
              <m:t xml:space="preserve">i , 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SCR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566441">
        <w:rPr>
          <w:rFonts w:eastAsiaTheme="minorEastAsia"/>
        </w:rPr>
        <w:t xml:space="preserve">  </w:t>
      </w:r>
      <w:r>
        <w:t xml:space="preserve">– </w:t>
      </w:r>
      <w:r w:rsidR="00566441">
        <w:t xml:space="preserve">kapitálové požadavky k </w:t>
      </w:r>
      <w:r>
        <w:t>rizikov</w:t>
      </w:r>
      <w:r w:rsidR="00566441">
        <w:t>ým</w:t>
      </w:r>
      <w:r>
        <w:t xml:space="preserve"> modul</w:t>
      </w:r>
      <w:r w:rsidR="00566441">
        <w:t>ům</w:t>
      </w:r>
    </w:p>
    <w:p w:rsidR="00566441" w:rsidRDefault="00991D3B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Corr</m:t>
            </m:r>
          </m:e>
          <m:sub>
            <m:r>
              <w:rPr>
                <w:rFonts w:ascii="Cambria Math" w:hAnsi="Cambria Math"/>
              </w:rPr>
              <m:t xml:space="preserve">ij </m:t>
            </m:r>
          </m:sub>
        </m:sSub>
      </m:oMath>
      <w:r w:rsidR="00566441">
        <w:t xml:space="preserve"> - korelační koeficienty z dané matice (hodntoty většinou 0,25, jen pro zdravotní-neživotní a životní-neživotní je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Corr</m:t>
            </m:r>
          </m:e>
          <m:sub>
            <m:r>
              <w:rPr>
                <w:rFonts w:ascii="Cambria Math" w:hAnsi="Cambria Math"/>
              </w:rPr>
              <m:t xml:space="preserve">ij </m:t>
            </m:r>
          </m:sub>
        </m:sSub>
      </m:oMath>
      <w:r w:rsidR="00566441">
        <w:rPr>
          <w:rFonts w:eastAsiaTheme="minorEastAsia"/>
        </w:rPr>
        <w:t xml:space="preserve">= 0 a pro neživotní-selhání je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Corr</m:t>
            </m:r>
          </m:e>
          <m:sub>
            <m:r>
              <w:rPr>
                <w:rFonts w:ascii="Cambria Math" w:hAnsi="Cambria Math"/>
              </w:rPr>
              <m:t xml:space="preserve">ij </m:t>
            </m:r>
          </m:sub>
        </m:sSub>
      </m:oMath>
      <w:r w:rsidR="00566441">
        <w:rPr>
          <w:rFonts w:eastAsiaTheme="minorEastAsia"/>
        </w:rPr>
        <w:t>= 0,5)</w:t>
      </w:r>
    </w:p>
    <w:p w:rsidR="00BC40B9" w:rsidRDefault="00BC40B9">
      <w:pPr>
        <w:rPr>
          <w:rFonts w:eastAsiaTheme="minorEastAsia"/>
          <w:u w:val="single"/>
          <w:vertAlign w:val="subscript"/>
        </w:rPr>
      </w:pPr>
      <w:r>
        <w:rPr>
          <w:rFonts w:eastAsiaTheme="minorEastAsia"/>
          <w:u w:val="single"/>
        </w:rPr>
        <w:t>Výpočet SCR</w:t>
      </w:r>
      <w:r>
        <w:rPr>
          <w:rFonts w:eastAsiaTheme="minorEastAsia"/>
          <w:u w:val="single"/>
          <w:vertAlign w:val="subscript"/>
        </w:rPr>
        <w:t>OR</w:t>
      </w:r>
    </w:p>
    <w:p w:rsidR="00BC40B9" w:rsidRDefault="00BC40B9">
      <w:pPr>
        <w:rPr>
          <w:rFonts w:eastAsiaTheme="minorEastAsia"/>
        </w:rPr>
      </w:pPr>
      <w:r>
        <w:rPr>
          <w:rFonts w:eastAsiaTheme="minorEastAsia"/>
        </w:rPr>
        <w:t>Operační riziko – riziko ztráty v důsledku nedostatečnosti nebo selhání vnitřních procesů, osob, systémů, externích událostí</w:t>
      </w:r>
    </w:p>
    <w:p w:rsidR="00BC40B9" w:rsidRDefault="00BC40B9" w:rsidP="00BC40B9">
      <w:pPr>
        <w:pStyle w:val="Odstavecseseznamem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u  investičního životního pojištění </w:t>
      </w:r>
      <w:r w:rsidR="004638C5">
        <w:rPr>
          <w:rFonts w:eastAsiaTheme="minorEastAsia"/>
        </w:rPr>
        <w:t>se počítá v závislosti na odhadnutých ročních správních nákladech</w:t>
      </w:r>
    </w:p>
    <w:p w:rsidR="004638C5" w:rsidRDefault="004638C5" w:rsidP="00BC40B9">
      <w:pPr>
        <w:pStyle w:val="Odstavecseseznamem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u jiných pojištění závisí na objemu pojistného a objemu rezerv, je omezen hranicí 30% BSCR </w:t>
      </w:r>
    </w:p>
    <w:p w:rsidR="004638C5" w:rsidRPr="00413216" w:rsidRDefault="00413216" w:rsidP="004638C5">
      <w:pPr>
        <w:rPr>
          <w:rFonts w:eastAsiaTheme="minorEastAsia"/>
          <w:u w:val="single"/>
        </w:rPr>
      </w:pPr>
      <w:r w:rsidRPr="00413216">
        <w:rPr>
          <w:u w:val="single"/>
        </w:rPr>
        <w:t>Adj</w:t>
      </w:r>
      <w:r w:rsidRPr="00413216">
        <w:rPr>
          <w:u w:val="single"/>
          <w:vertAlign w:val="subscript"/>
        </w:rPr>
        <w:t>TR</w:t>
      </w:r>
      <w:r w:rsidRPr="00413216">
        <w:rPr>
          <w:u w:val="single"/>
        </w:rPr>
        <w:t xml:space="preserve"> +Adj</w:t>
      </w:r>
      <w:r w:rsidRPr="00413216">
        <w:rPr>
          <w:u w:val="single"/>
          <w:vertAlign w:val="subscript"/>
        </w:rPr>
        <w:t>OD</w:t>
      </w:r>
    </w:p>
    <w:p w:rsidR="00BC40B9" w:rsidRDefault="00413216">
      <w:r>
        <w:t>-odráží případnou náhradu za neočekávané ztráty prostřednictvím snížení TR či odložené daňové povinnosti, přihlíží k budoucím nezaručeným podílům na zisku</w:t>
      </w:r>
    </w:p>
    <w:sectPr w:rsidR="00BC40B9" w:rsidSect="00001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A2F"/>
    <w:multiLevelType w:val="hybridMultilevel"/>
    <w:tmpl w:val="B8EA78AA"/>
    <w:lvl w:ilvl="0" w:tplc="425AF6D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756AE"/>
    <w:multiLevelType w:val="hybridMultilevel"/>
    <w:tmpl w:val="051E88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701F"/>
    <w:multiLevelType w:val="hybridMultilevel"/>
    <w:tmpl w:val="D69493C8"/>
    <w:lvl w:ilvl="0" w:tplc="DBCA71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305E9"/>
    <w:multiLevelType w:val="hybridMultilevel"/>
    <w:tmpl w:val="247CF8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1A93"/>
    <w:rsid w:val="000011DC"/>
    <w:rsid w:val="000544D8"/>
    <w:rsid w:val="00413216"/>
    <w:rsid w:val="004638C5"/>
    <w:rsid w:val="00566441"/>
    <w:rsid w:val="005C0A6B"/>
    <w:rsid w:val="00991D3B"/>
    <w:rsid w:val="009D435C"/>
    <w:rsid w:val="00BC40B9"/>
    <w:rsid w:val="00CB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A9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D435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KPMS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mazurova</dc:creator>
  <cp:keywords/>
  <dc:description/>
  <cp:lastModifiedBy>mazurova</cp:lastModifiedBy>
  <cp:revision>5</cp:revision>
  <dcterms:created xsi:type="dcterms:W3CDTF">2014-05-23T16:33:00Z</dcterms:created>
  <dcterms:modified xsi:type="dcterms:W3CDTF">2018-05-31T15:25:00Z</dcterms:modified>
</cp:coreProperties>
</file>