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1DC" w:rsidRPr="00321179" w:rsidRDefault="0028430D">
      <w:pPr>
        <w:rPr>
          <w:b/>
          <w:u w:val="single"/>
        </w:rPr>
      </w:pPr>
      <w:r w:rsidRPr="00321179">
        <w:rPr>
          <w:b/>
          <w:u w:val="single"/>
        </w:rPr>
        <w:t>Solventnost 2 – struktura</w:t>
      </w:r>
    </w:p>
    <w:p w:rsidR="0028430D" w:rsidRDefault="0028430D">
      <w:pPr>
        <w:rPr>
          <w:u w:val="single"/>
        </w:rPr>
      </w:pPr>
      <w:r>
        <w:rPr>
          <w:u w:val="single"/>
        </w:rPr>
        <w:t>Právní  rámec</w:t>
      </w:r>
    </w:p>
    <w:p w:rsidR="0028430D" w:rsidRDefault="0028430D" w:rsidP="0028430D">
      <w:pPr>
        <w:pStyle w:val="Odstavecseseznamem"/>
        <w:numPr>
          <w:ilvl w:val="0"/>
          <w:numId w:val="1"/>
        </w:numPr>
      </w:pPr>
      <w:r>
        <w:t>Direktiva 2009/138 (Solventnost 2)</w:t>
      </w:r>
    </w:p>
    <w:p w:rsidR="0028430D" w:rsidRDefault="0028430D" w:rsidP="0028430D">
      <w:pPr>
        <w:pStyle w:val="Odstavecseseznamem"/>
      </w:pPr>
      <w:r>
        <w:t>→ novela Omnibus 2</w:t>
      </w:r>
    </w:p>
    <w:p w:rsidR="0028430D" w:rsidRDefault="0028430D" w:rsidP="0028430D">
      <w:pPr>
        <w:pStyle w:val="Odstavecseseznamem"/>
        <w:numPr>
          <w:ilvl w:val="0"/>
          <w:numId w:val="1"/>
        </w:numPr>
      </w:pPr>
      <w:r>
        <w:t>Prováděcí opatření (akty v přenesené pravomoci) – vydává Evropská komise</w:t>
      </w:r>
    </w:p>
    <w:p w:rsidR="0028430D" w:rsidRDefault="0028430D" w:rsidP="0028430D">
      <w:pPr>
        <w:pStyle w:val="Odstavecseseznamem"/>
        <w:numPr>
          <w:ilvl w:val="0"/>
          <w:numId w:val="1"/>
        </w:numPr>
      </w:pPr>
      <w:r>
        <w:t>Technické standardy – EIOPA (European Insurance and Occupational Pensions Authority)</w:t>
      </w:r>
    </w:p>
    <w:p w:rsidR="0028430D" w:rsidRDefault="0028430D" w:rsidP="0028430D">
      <w:r>
        <w:t>Cíl: ochrana klientů před rizikem nesolventnosti pojistitelů</w:t>
      </w:r>
    </w:p>
    <w:p w:rsidR="0028430D" w:rsidRDefault="0028430D" w:rsidP="0028430D">
      <w:pPr>
        <w:pStyle w:val="Odstavecseseznamem"/>
        <w:numPr>
          <w:ilvl w:val="0"/>
          <w:numId w:val="2"/>
        </w:numPr>
      </w:pPr>
      <w:r>
        <w:t>zavádí kapitálový požadavek s ohledem na všechna rizika spojená s činností pojišťovny</w:t>
      </w:r>
    </w:p>
    <w:p w:rsidR="0028430D" w:rsidRDefault="0028430D" w:rsidP="0028430D">
      <w:pPr>
        <w:pStyle w:val="Odstavecseseznamem"/>
        <w:numPr>
          <w:ilvl w:val="0"/>
          <w:numId w:val="2"/>
        </w:numPr>
      </w:pPr>
      <w:r>
        <w:t>podněcuje k řízení rizik</w:t>
      </w:r>
    </w:p>
    <w:p w:rsidR="0028430D" w:rsidRDefault="0028430D" w:rsidP="0028430D">
      <w:pPr>
        <w:rPr>
          <w:u w:val="single"/>
        </w:rPr>
      </w:pPr>
      <w:r>
        <w:rPr>
          <w:u w:val="single"/>
        </w:rPr>
        <w:t>Struktura tří pilířů</w:t>
      </w:r>
    </w:p>
    <w:p w:rsidR="0028430D" w:rsidRDefault="0028430D" w:rsidP="0028430D">
      <w:pPr>
        <w:pStyle w:val="Odstavecseseznamem"/>
        <w:numPr>
          <w:ilvl w:val="0"/>
          <w:numId w:val="3"/>
        </w:numPr>
      </w:pPr>
      <w:r>
        <w:t>kvantitativní požadavky: minimální kapitálový požadavek, solventnostní kapitálový požadavek, tržní ocenění aktiv a pasiv → stanovení výše vlastních zdrojů</w:t>
      </w:r>
    </w:p>
    <w:p w:rsidR="0028430D" w:rsidRDefault="0028430D" w:rsidP="0028430D">
      <w:pPr>
        <w:pStyle w:val="Odstavecseseznamem"/>
        <w:numPr>
          <w:ilvl w:val="0"/>
          <w:numId w:val="3"/>
        </w:numPr>
      </w:pPr>
      <w:r>
        <w:t>kvalitativní požadavky a pravidla pro dohled: vlastní posouzení solventnosti a rizik (ORSA), činnost regulátorů</w:t>
      </w:r>
    </w:p>
    <w:p w:rsidR="0028430D" w:rsidRDefault="0028430D" w:rsidP="0028430D">
      <w:pPr>
        <w:pStyle w:val="Odstavecseseznamem"/>
        <w:numPr>
          <w:ilvl w:val="0"/>
          <w:numId w:val="3"/>
        </w:numPr>
      </w:pPr>
      <w:r>
        <w:t>vykazování směrem k regulátorům a veřejnosti</w:t>
      </w:r>
    </w:p>
    <w:p w:rsidR="0028430D" w:rsidRDefault="00D7547C" w:rsidP="0028430D">
      <w:r w:rsidRPr="00D7547C">
        <w:rPr>
          <w:u w:val="single"/>
        </w:rPr>
        <w:t>Rozvaha dle S2</w:t>
      </w:r>
      <w:r>
        <w:t>:</w:t>
      </w:r>
    </w:p>
    <w:p w:rsidR="00D7547C" w:rsidRDefault="00D7547C" w:rsidP="0028430D">
      <w:r>
        <w:t>Aktiva :  aktiva oceněná tržní hodnotou</w:t>
      </w:r>
    </w:p>
    <w:p w:rsidR="00D7547C" w:rsidRDefault="00D7547C" w:rsidP="0028430D">
      <w:r>
        <w:t>Pasiva : TR+SCR+volný kapitál</w:t>
      </w:r>
    </w:p>
    <w:p w:rsidR="00D7547C" w:rsidRDefault="00D7547C" w:rsidP="0028430D">
      <w:r>
        <w:t>TR – technické rezervy – tržně konzistentní ocenění závazků (nejlepší odhad současné hodnoty závazků + riziková marže)</w:t>
      </w:r>
    </w:p>
    <w:p w:rsidR="00D7547C" w:rsidRDefault="00D7547C" w:rsidP="0028430D">
      <w:r>
        <w:t>SCR – solventnostní kapitálový požadavek – výše kapitálu potřebná k pokrytí významných nepředvídaných ztrát</w:t>
      </w:r>
    </w:p>
    <w:p w:rsidR="00851CCD" w:rsidRDefault="00851CCD" w:rsidP="0028430D">
      <w:r>
        <w:t>Volný kapitál – stanoví se jako Aktiva-(TR+SCR)</w:t>
      </w:r>
    </w:p>
    <w:p w:rsidR="00851CCD" w:rsidRDefault="00851CCD" w:rsidP="0028430D">
      <w:pPr>
        <w:rPr>
          <w:u w:val="single"/>
        </w:rPr>
      </w:pPr>
      <w:r>
        <w:rPr>
          <w:u w:val="single"/>
        </w:rPr>
        <w:t>Minimální kapitálový požadavek</w:t>
      </w:r>
    </w:p>
    <w:p w:rsidR="00851CCD" w:rsidRDefault="00851CCD" w:rsidP="00851CCD">
      <w:pPr>
        <w:pStyle w:val="Odstavecseseznamem"/>
        <w:numPr>
          <w:ilvl w:val="0"/>
          <w:numId w:val="2"/>
        </w:numPr>
      </w:pPr>
      <w:r>
        <w:t>je součástí SCR</w:t>
      </w:r>
    </w:p>
    <w:p w:rsidR="00851CCD" w:rsidRDefault="00851CCD" w:rsidP="00851CCD">
      <w:pPr>
        <w:pStyle w:val="Odstavecseseznamem"/>
        <w:numPr>
          <w:ilvl w:val="0"/>
          <w:numId w:val="2"/>
        </w:numPr>
      </w:pPr>
      <w:r>
        <w:t>vyjadřuje výši kapitálu, pod níž by pojistníci byly vystaveni nepřijatelné úrovni rizika, pokud by pojišťovna pokračovala v činnosti</w:t>
      </w:r>
    </w:p>
    <w:p w:rsidR="00851CCD" w:rsidRDefault="00851CCD" w:rsidP="00851CCD">
      <w:pPr>
        <w:pStyle w:val="Odstavecseseznamem"/>
        <w:numPr>
          <w:ilvl w:val="0"/>
          <w:numId w:val="2"/>
        </w:numPr>
      </w:pPr>
      <w:r>
        <w:t>způsob výpočtu je předepsán, závisí např. na výši technických rezerv, pojistného, nákladů</w:t>
      </w:r>
    </w:p>
    <w:p w:rsidR="00851CCD" w:rsidRDefault="00851CCD" w:rsidP="00851CCD">
      <w:pPr>
        <w:pStyle w:val="Odstavecseseznamem"/>
        <w:numPr>
          <w:ilvl w:val="0"/>
          <w:numId w:val="2"/>
        </w:numPr>
      </w:pPr>
      <w:r>
        <w:t>jsou dány absolutní dolní meze dle odvětví (neživotní, životní, zajištění)</w:t>
      </w:r>
    </w:p>
    <w:p w:rsidR="00851CCD" w:rsidRPr="00851CCD" w:rsidRDefault="00851CCD" w:rsidP="00851CCD">
      <w:pPr>
        <w:pStyle w:val="Odstavecseseznamem"/>
        <w:numPr>
          <w:ilvl w:val="0"/>
          <w:numId w:val="2"/>
        </w:numPr>
      </w:pPr>
      <w:r>
        <w:t xml:space="preserve">jsou dány meze v procentech SCR  (25% SCR </w:t>
      </w:r>
      <w:r>
        <w:rPr>
          <w:lang w:val="en-US"/>
        </w:rPr>
        <w:t>&lt; MCR &lt; 45</w:t>
      </w:r>
      <w:r>
        <w:t>% SCR)</w:t>
      </w:r>
    </w:p>
    <w:p w:rsidR="00851CCD" w:rsidRDefault="00851CCD" w:rsidP="0028430D"/>
    <w:p w:rsidR="00D7547C" w:rsidRPr="0028430D" w:rsidRDefault="00D7547C" w:rsidP="0028430D"/>
    <w:p w:rsidR="0028430D" w:rsidRDefault="0028430D" w:rsidP="0028430D">
      <w:pPr>
        <w:rPr>
          <w:u w:val="single"/>
        </w:rPr>
      </w:pPr>
    </w:p>
    <w:p w:rsidR="0028430D" w:rsidRPr="0028430D" w:rsidRDefault="0028430D" w:rsidP="0028430D">
      <w:pPr>
        <w:rPr>
          <w:u w:val="single"/>
        </w:rPr>
      </w:pPr>
    </w:p>
    <w:p w:rsidR="0028430D" w:rsidRPr="0028430D" w:rsidRDefault="0028430D">
      <w:pPr>
        <w:rPr>
          <w:u w:val="single"/>
        </w:rPr>
      </w:pPr>
    </w:p>
    <w:sectPr w:rsidR="0028430D" w:rsidRPr="0028430D" w:rsidSect="000011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3FDF"/>
    <w:multiLevelType w:val="hybridMultilevel"/>
    <w:tmpl w:val="5B40FC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20D39"/>
    <w:multiLevelType w:val="hybridMultilevel"/>
    <w:tmpl w:val="7B70F1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170C8"/>
    <w:multiLevelType w:val="hybridMultilevel"/>
    <w:tmpl w:val="EA9E2E48"/>
    <w:lvl w:ilvl="0" w:tplc="92DEF3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8430D"/>
    <w:rsid w:val="000011DC"/>
    <w:rsid w:val="0028430D"/>
    <w:rsid w:val="00321179"/>
    <w:rsid w:val="00851CCD"/>
    <w:rsid w:val="00D75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1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43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221</Words>
  <Characters>1306</Characters>
  <Application>Microsoft Office Word</Application>
  <DocSecurity>0</DocSecurity>
  <Lines>10</Lines>
  <Paragraphs>3</Paragraphs>
  <ScaleCrop>false</ScaleCrop>
  <Company>KPMS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mazurova</dc:creator>
  <cp:keywords/>
  <dc:description/>
  <cp:lastModifiedBy>mazurova</cp:lastModifiedBy>
  <cp:revision>4</cp:revision>
  <cp:lastPrinted>2014-05-23T15:59:00Z</cp:lastPrinted>
  <dcterms:created xsi:type="dcterms:W3CDTF">2014-05-23T15:35:00Z</dcterms:created>
  <dcterms:modified xsi:type="dcterms:W3CDTF">2014-05-23T16:00:00Z</dcterms:modified>
</cp:coreProperties>
</file>